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713E" w:rsidRDefault="007D22D3">
      <w:pPr>
        <w:pStyle w:val="Szvegtrzs"/>
        <w:spacing w:before="240" w:after="480" w:line="240" w:lineRule="auto"/>
        <w:jc w:val="center"/>
        <w:rPr>
          <w:b/>
          <w:bCs/>
        </w:rPr>
      </w:pPr>
      <w:bookmarkStart w:id="0" w:name="_GoBack"/>
      <w:bookmarkEnd w:id="0"/>
      <w:r>
        <w:rPr>
          <w:b/>
          <w:bCs/>
        </w:rPr>
        <w:t>Dunakeszi Város Önkormányzata Képviselő-testületének .../.... (...) önkormányzati rendelete</w:t>
      </w:r>
    </w:p>
    <w:p w:rsidR="00B5713E" w:rsidRDefault="007D22D3">
      <w:pPr>
        <w:pStyle w:val="Szvegtrzs"/>
        <w:spacing w:before="240" w:after="480" w:line="240" w:lineRule="auto"/>
        <w:jc w:val="center"/>
        <w:rPr>
          <w:b/>
          <w:bCs/>
        </w:rPr>
      </w:pPr>
      <w:r>
        <w:rPr>
          <w:b/>
          <w:bCs/>
        </w:rPr>
        <w:t>a változtatási tilalom elrendeléséről</w:t>
      </w:r>
    </w:p>
    <w:p w:rsidR="00B5713E" w:rsidRDefault="007D22D3">
      <w:pPr>
        <w:pStyle w:val="Szvegtrzs"/>
        <w:spacing w:before="220" w:after="0" w:line="240" w:lineRule="auto"/>
        <w:jc w:val="both"/>
      </w:pPr>
      <w:r>
        <w:t>Dunakeszi Város Önkormányzatának Képviselő-testülete az Alaptörvény 32. cikk (1) bekezdés a) pontjában meghatározott hatáskörében, a Magyarország helyi önkormányzatairól szóló 2011. évi CLXXXIX. törvény 13. § (1) bekezdés 1. pontjában, valamint az épített környezet alakításáról és védelméről szóló 1997. évi LXXVIII. törvény 21. § (1) bekezdésében kapott felhatalmazás alapján a következőket rendeli el:</w:t>
      </w:r>
    </w:p>
    <w:p w:rsidR="00B5713E" w:rsidRDefault="007D22D3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1. §</w:t>
      </w:r>
    </w:p>
    <w:p w:rsidR="00B5713E" w:rsidRDefault="007D22D3">
      <w:pPr>
        <w:pStyle w:val="Szvegtrzs"/>
        <w:spacing w:after="0" w:line="240" w:lineRule="auto"/>
        <w:jc w:val="both"/>
      </w:pPr>
      <w:r>
        <w:t>A rendelet változtatási tilalmat rendel el a helyi építési szabályzat, illetve szabályozási terv készítésének időszakára.</w:t>
      </w:r>
    </w:p>
    <w:p w:rsidR="00B5713E" w:rsidRDefault="007D22D3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2. §</w:t>
      </w:r>
    </w:p>
    <w:p w:rsidR="00B5713E" w:rsidRDefault="007D22D3">
      <w:pPr>
        <w:pStyle w:val="Szvegtrzs"/>
        <w:spacing w:after="0" w:line="240" w:lineRule="auto"/>
        <w:jc w:val="both"/>
      </w:pPr>
      <w:r>
        <w:t>A rendelet területi hatálya kiterjed a Dunakeszi 3033 hrsz-ú ingatlanra, továbbá azon telkekre, amelyek a Helyi Építési Szabályzatról szóló 6/2018. (V.31.) önkormányzati rendelettel elfogadottak alapján a következő övezetekbe tartoznak:</w:t>
      </w:r>
    </w:p>
    <w:p w:rsidR="00B5713E" w:rsidRDefault="007D22D3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a)</w:t>
      </w:r>
      <w:r>
        <w:tab/>
      </w:r>
      <w:proofErr w:type="spellStart"/>
      <w:r>
        <w:t>Má</w:t>
      </w:r>
      <w:proofErr w:type="spellEnd"/>
      <w:r>
        <w:t xml:space="preserve"> jelű általános mezőgazdasági övezet,</w:t>
      </w:r>
    </w:p>
    <w:p w:rsidR="00B5713E" w:rsidRDefault="007D22D3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b)</w:t>
      </w:r>
      <w:r>
        <w:tab/>
      </w:r>
      <w:proofErr w:type="spellStart"/>
      <w:r>
        <w:t>Mko</w:t>
      </w:r>
      <w:proofErr w:type="spellEnd"/>
      <w:r>
        <w:t xml:space="preserve"> jelű korlátozott mezőgazdasági övezet,</w:t>
      </w:r>
    </w:p>
    <w:p w:rsidR="00B5713E" w:rsidRDefault="007D22D3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c)</w:t>
      </w:r>
      <w:r>
        <w:tab/>
        <w:t>Mk jelű kertes mezőgazdasági övezet,</w:t>
      </w:r>
    </w:p>
    <w:p w:rsidR="00B5713E" w:rsidRDefault="007D22D3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d)</w:t>
      </w:r>
      <w:r>
        <w:tab/>
        <w:t>Mm jelű mezőgazdasági major övezet.</w:t>
      </w:r>
    </w:p>
    <w:p w:rsidR="00B5713E" w:rsidRDefault="007D22D3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3. §</w:t>
      </w:r>
    </w:p>
    <w:p w:rsidR="00B5713E" w:rsidRDefault="007D22D3">
      <w:pPr>
        <w:pStyle w:val="Szvegtrzs"/>
        <w:spacing w:after="0" w:line="240" w:lineRule="auto"/>
        <w:jc w:val="both"/>
      </w:pPr>
      <w:r>
        <w:t>A rendelet időbeli hatálya a kihirdetéstől számítva a területre vonatkozó helyi építési szabályzat elfogadásának napja, de legfeljebb 3 év.</w:t>
      </w:r>
    </w:p>
    <w:p w:rsidR="00B5713E" w:rsidRDefault="007D22D3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4. §</w:t>
      </w:r>
    </w:p>
    <w:p w:rsidR="00B5713E" w:rsidRDefault="007D22D3">
      <w:pPr>
        <w:pStyle w:val="Szvegtrzs"/>
        <w:spacing w:after="0" w:line="240" w:lineRule="auto"/>
        <w:jc w:val="both"/>
      </w:pPr>
      <w:r>
        <w:t>(1) Hatályát veszti a változtatási tilalom elrendeléséről szóló 39/2020 (X.30.) önkormányzati rendelet.</w:t>
      </w:r>
    </w:p>
    <w:p w:rsidR="00B5713E" w:rsidRDefault="007D22D3">
      <w:pPr>
        <w:pStyle w:val="Szvegtrzs"/>
        <w:spacing w:before="240" w:after="0" w:line="240" w:lineRule="auto"/>
        <w:jc w:val="both"/>
      </w:pPr>
      <w:r>
        <w:t>(2) E rendeletet a folyamatban lévő eljárásokra is alkalmazni kell</w:t>
      </w:r>
    </w:p>
    <w:p w:rsidR="00B5713E" w:rsidRDefault="007D22D3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5. §</w:t>
      </w:r>
    </w:p>
    <w:p w:rsidR="00B5713E" w:rsidRDefault="007D22D3">
      <w:pPr>
        <w:pStyle w:val="Szvegtrzs"/>
        <w:spacing w:after="0" w:line="240" w:lineRule="auto"/>
        <w:jc w:val="both"/>
        <w:sectPr w:rsidR="00B5713E">
          <w:footerReference w:type="default" r:id="rId7"/>
          <w:pgSz w:w="11906" w:h="16838"/>
          <w:pgMar w:top="1134" w:right="1134" w:bottom="1693" w:left="1134" w:header="0" w:footer="1134" w:gutter="0"/>
          <w:cols w:space="708"/>
          <w:formProt w:val="0"/>
          <w:docGrid w:linePitch="600" w:charSpace="32768"/>
        </w:sectPr>
      </w:pPr>
      <w:r>
        <w:t>Ez a rendelet a kihirdetését követő napon lép hatályba.</w:t>
      </w:r>
    </w:p>
    <w:p w:rsidR="00B5713E" w:rsidRDefault="00B5713E">
      <w:pPr>
        <w:pStyle w:val="Szvegtrzs"/>
        <w:spacing w:after="0"/>
        <w:jc w:val="center"/>
      </w:pPr>
    </w:p>
    <w:p w:rsidR="00B5713E" w:rsidRDefault="007D22D3">
      <w:pPr>
        <w:pStyle w:val="Szvegtrzs"/>
        <w:spacing w:after="159" w:line="240" w:lineRule="auto"/>
        <w:ind w:left="159" w:right="159"/>
        <w:jc w:val="center"/>
      </w:pPr>
      <w:r>
        <w:t>Végső előterjesztői indokolás</w:t>
      </w:r>
    </w:p>
    <w:p w:rsidR="00B5713E" w:rsidRDefault="007D22D3">
      <w:pPr>
        <w:pStyle w:val="Szvegtrzs"/>
        <w:spacing w:line="240" w:lineRule="auto"/>
        <w:jc w:val="both"/>
      </w:pPr>
      <w:r>
        <w:t>Az Országos Településrendezési és Építésügyi Követelményekről szóló 253/1997. (XII. 20.) Kormányrendelet (a továbbiakban: OTÉK) előírásai 2023. március 30-tól módosultak. A módosítás jelentősen megváltoztatta a tanya fogalmát és ezzel a tanyákra vonatkozó építésügyi előírásokat, felülírva a települések helyi előírásait. Ugyan a tanya beépíthetőségének mértéke nem változott (30%), azonban korábban egyértelmű volt, hogy tanyát létrehozni és a tanyákra vonatkozó beépítési paraméterekkel élni kizárólag a területrendezési tervekben lehatárolt tanyás területek térségi övezetben lehetett. A jogszabályok korábbi előírásai szerint tanya létesítésére csak ott volt lehetőség, ahol azt a területrendezési tervekkel összhangban a helyi építési szabályzat azt kifejezetten lehetővé tette. Mivel Dunakeszi közigazgatási területén ilyen térség nem lett kijelölve, a város Helyi Építési Szabályzata nem tartalmazhatott tanya céljára fenntartott terület kijelölését. A rendezési tervünk szerint a mezőgazdasági területek beépíthetősége övezettől függően legfeljebb 3% lehet.</w:t>
      </w:r>
    </w:p>
    <w:p w:rsidR="00B5713E" w:rsidRDefault="007D22D3">
      <w:pPr>
        <w:pStyle w:val="Szvegtrzs"/>
        <w:spacing w:line="240" w:lineRule="auto"/>
        <w:jc w:val="both"/>
      </w:pPr>
      <w:r>
        <w:t> </w:t>
      </w:r>
    </w:p>
    <w:p w:rsidR="00B5713E" w:rsidRDefault="007D22D3">
      <w:pPr>
        <w:pStyle w:val="Szvegtrzs"/>
        <w:spacing w:line="240" w:lineRule="auto"/>
        <w:jc w:val="both"/>
      </w:pPr>
      <w:r>
        <w:t>A módosítással ezt a rendelkezést törölték, már nem csak a korábban ilyennek minősülő térségekben lehet tanyát létesíteni, hanem bárhol, ahol az OTÉK új feltételei teljesülnek. Az új jogszabály értelmezésével, alkalmazásával kapcsolatban számos kérdés merült fel, melyekre egyelőre a megtartott szakmai egyeztetések sem adtak egyértelmű választ. A legpesszimistább jogértelmezés szerint ezzel minden, a szabályozási tervben mezőgazdasági övezetbe tartozó, 1.500 m2 és 10.000 m2 közötti földterület 30%-ban beépíthetővé vált (beleértve a lakóépületet), ami messzemenően szembe megy Önkormányzatunk eddigi törekvéseivel és beláthatatlan következményekkel járhat. </w:t>
      </w:r>
    </w:p>
    <w:p w:rsidR="00B5713E" w:rsidRDefault="007D22D3">
      <w:pPr>
        <w:pStyle w:val="Szvegtrzs"/>
        <w:spacing w:line="240" w:lineRule="auto"/>
        <w:jc w:val="both"/>
      </w:pPr>
      <w:r>
        <w:t xml:space="preserve">Az új jogszabályi környezethez való illeszkedés érdekében célszerű a város hatályos Helyi Építési Szabályzat mezőgazdasági területekre vonatkozó előírásainak felülvizsgálata egy külön eljárás keretében, amellyel egyidejűleg – legalább a jogszabály értelmezésének tisztázásáig, vagy a felülvizsgálat elkészültéig – szükséges viszont a mezőgazdasági területekre a változtatási tilalom elrendelése megelőzve a visszafordíthatatlan károkkal járó beruházások megakadályozását. A nem egyértelmű szabályozások letisztulásáig a mezőgazdasági területek jelentős beépítésének megelőzése érdekében az épített környezet alakításáról és védelméről szóló 1997. évi LXXVIII. törvény (a továbbiakban: </w:t>
      </w:r>
      <w:proofErr w:type="spellStart"/>
      <w:r>
        <w:t>Étv</w:t>
      </w:r>
      <w:proofErr w:type="spellEnd"/>
      <w:r>
        <w:t xml:space="preserve">.) lehetőséget ad arra, hogy a rendezési </w:t>
      </w:r>
      <w:proofErr w:type="gramStart"/>
      <w:r>
        <w:t>terv módosítás</w:t>
      </w:r>
      <w:proofErr w:type="gramEnd"/>
      <w:r>
        <w:t xml:space="preserve"> készítésének időtartamára, annak hatályba lépéséig (de legfeljebb 3 évre) változtatási tilalmat rendeljen el az önkormányzat.</w:t>
      </w:r>
    </w:p>
    <w:sectPr w:rsidR="00B5713E">
      <w:footerReference w:type="default" r:id="rId8"/>
      <w:pgSz w:w="11906" w:h="16838"/>
      <w:pgMar w:top="1134" w:right="1134" w:bottom="1693" w:left="1134" w:header="0" w:footer="1134" w:gutter="0"/>
      <w:cols w:space="708"/>
      <w:formProt w:val="0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D22D3" w:rsidRDefault="007D22D3">
      <w:r>
        <w:separator/>
      </w:r>
    </w:p>
  </w:endnote>
  <w:endnote w:type="continuationSeparator" w:id="0">
    <w:p w:rsidR="007D22D3" w:rsidRDefault="007D22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Liberation Serif">
    <w:altName w:val="Times New Roman"/>
    <w:charset w:val="01"/>
    <w:family w:val="roman"/>
    <w:pitch w:val="variable"/>
  </w:font>
  <w:font w:name="Noto Sans CJK SC Regular">
    <w:altName w:val="Times New Roman"/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swiss"/>
    <w:pitch w:val="variable"/>
  </w:font>
  <w:font w:name="OpenSymbol">
    <w:charset w:val="02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713E" w:rsidRDefault="007D22D3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 w:rsidR="00F40635">
      <w:rPr>
        <w:noProof/>
      </w:rPr>
      <w:t>1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713E" w:rsidRDefault="007D22D3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 w:rsidR="00F40635"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D22D3" w:rsidRDefault="007D22D3">
      <w:r>
        <w:separator/>
      </w:r>
    </w:p>
  </w:footnote>
  <w:footnote w:type="continuationSeparator" w:id="0">
    <w:p w:rsidR="007D22D3" w:rsidRDefault="007D22D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89A3D13"/>
    <w:multiLevelType w:val="multilevel"/>
    <w:tmpl w:val="A078A81C"/>
    <w:lvl w:ilvl="0">
      <w:start w:val="1"/>
      <w:numFmt w:val="none"/>
      <w:pStyle w:val="Cmsor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Cmsor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Cmsor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Cmsor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Cmsor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Cmsor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713E"/>
    <w:rsid w:val="007D22D3"/>
    <w:rsid w:val="00826ACF"/>
    <w:rsid w:val="00B5713E"/>
    <w:rsid w:val="00DE2914"/>
    <w:rsid w:val="00F406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063DAEB-19C2-4D15-99D8-750A875941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Noto Sans CJK SC Regular" w:hAnsi="Liberation Serif" w:cs="FreeSans"/>
        <w:kern w:val="2"/>
        <w:sz w:val="24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Pr>
      <w:rFonts w:ascii="Times New Roman" w:hAnsi="Times New Roman"/>
      <w:lang w:val="hu-HU"/>
    </w:rPr>
  </w:style>
  <w:style w:type="paragraph" w:styleId="Cmsor1">
    <w:name w:val="heading 1"/>
    <w:basedOn w:val="Heading"/>
    <w:next w:val="Szvegtrzs"/>
    <w:qFormat/>
    <w:pPr>
      <w:numPr>
        <w:numId w:val="1"/>
      </w:numPr>
      <w:outlineLvl w:val="0"/>
    </w:pPr>
    <w:rPr>
      <w:b/>
      <w:bCs/>
      <w:sz w:val="36"/>
      <w:szCs w:val="36"/>
    </w:rPr>
  </w:style>
  <w:style w:type="paragraph" w:styleId="Cmsor2">
    <w:name w:val="heading 2"/>
    <w:basedOn w:val="Heading"/>
    <w:next w:val="Szvegtrzs"/>
    <w:qFormat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paragraph" w:styleId="Cmsor3">
    <w:name w:val="heading 3"/>
    <w:basedOn w:val="Heading"/>
    <w:next w:val="Szvegtrzs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Cmsor4">
    <w:name w:val="heading 4"/>
    <w:basedOn w:val="Heading"/>
    <w:next w:val="Szvegtrzs"/>
    <w:qFormat/>
    <w:pPr>
      <w:numPr>
        <w:ilvl w:val="3"/>
        <w:numId w:val="1"/>
      </w:numPr>
      <w:spacing w:before="120"/>
      <w:outlineLvl w:val="3"/>
    </w:pPr>
    <w:rPr>
      <w:b/>
      <w:bCs/>
      <w:i/>
      <w:iCs/>
      <w:sz w:val="27"/>
      <w:szCs w:val="27"/>
    </w:rPr>
  </w:style>
  <w:style w:type="paragraph" w:styleId="Cmsor5">
    <w:name w:val="heading 5"/>
    <w:basedOn w:val="Heading"/>
    <w:next w:val="Szvegtrzs"/>
    <w:qFormat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styleId="Cmsor6">
    <w:name w:val="heading 6"/>
    <w:basedOn w:val="Heading"/>
    <w:next w:val="Szvegtrzs"/>
    <w:qFormat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rPr>
      <w:color w:val="000080"/>
      <w:u w:val="single"/>
    </w:rPr>
  </w:style>
  <w:style w:type="character" w:styleId="Mrltotthiperhivatkozs">
    <w:name w:val="FollowedHyperlink"/>
    <w:rPr>
      <w:color w:val="800000"/>
      <w:u w:val="single"/>
    </w:rPr>
  </w:style>
  <w:style w:type="character" w:customStyle="1" w:styleId="NumberingSymbols">
    <w:name w:val="Numbering Symbols"/>
    <w:qFormat/>
  </w:style>
  <w:style w:type="character" w:customStyle="1" w:styleId="Bullets">
    <w:name w:val="Bullets"/>
    <w:qFormat/>
    <w:rPr>
      <w:rFonts w:ascii="OpenSymbol" w:eastAsia="OpenSymbol" w:hAnsi="OpenSymbol" w:cs="OpenSymbol"/>
    </w:rPr>
  </w:style>
  <w:style w:type="paragraph" w:customStyle="1" w:styleId="Heading">
    <w:name w:val="Heading"/>
    <w:basedOn w:val="Norml"/>
    <w:next w:val="Szvegtrzs"/>
    <w:qFormat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styleId="Szvegtrzs">
    <w:name w:val="Body Text"/>
    <w:basedOn w:val="Norml"/>
    <w:pPr>
      <w:spacing w:after="140" w:line="288" w:lineRule="auto"/>
    </w:pPr>
  </w:style>
  <w:style w:type="paragraph" w:styleId="Lista">
    <w:name w:val="List"/>
    <w:basedOn w:val="Szvegtrzs"/>
  </w:style>
  <w:style w:type="paragraph" w:styleId="Kpalrs">
    <w:name w:val="caption"/>
    <w:basedOn w:val="Norm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l"/>
    <w:qFormat/>
    <w:pPr>
      <w:suppressLineNumbers/>
    </w:pPr>
  </w:style>
  <w:style w:type="paragraph" w:customStyle="1" w:styleId="HeaderandFooter">
    <w:name w:val="Header and Footer"/>
    <w:basedOn w:val="Norml"/>
    <w:qFormat/>
    <w:pPr>
      <w:suppressLineNumbers/>
      <w:tabs>
        <w:tab w:val="center" w:pos="4986"/>
        <w:tab w:val="right" w:pos="9972"/>
      </w:tabs>
    </w:pPr>
  </w:style>
  <w:style w:type="paragraph" w:styleId="llb">
    <w:name w:val="footer"/>
    <w:basedOn w:val="Norml"/>
    <w:pPr>
      <w:suppressLineNumbers/>
      <w:tabs>
        <w:tab w:val="center" w:pos="4819"/>
        <w:tab w:val="right" w:pos="9638"/>
      </w:tabs>
    </w:pPr>
  </w:style>
  <w:style w:type="paragraph" w:customStyle="1" w:styleId="TableContents">
    <w:name w:val="Table Contents"/>
    <w:basedOn w:val="Norml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customStyle="1" w:styleId="HorizontalLine">
    <w:name w:val="Horizontal Line"/>
    <w:basedOn w:val="Norml"/>
    <w:next w:val="Szvegtrzs"/>
    <w:qFormat/>
    <w:pPr>
      <w:suppressLineNumbers/>
      <w:pBdr>
        <w:bottom w:val="double" w:sz="2" w:space="0" w:color="808080"/>
      </w:pBdr>
      <w:spacing w:after="283"/>
    </w:pPr>
    <w:rPr>
      <w:sz w:val="12"/>
      <w:szCs w:val="1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517</Words>
  <Characters>3568</Characters>
  <Application>Microsoft Office Word</Application>
  <DocSecurity>0</DocSecurity>
  <Lines>29</Lines>
  <Paragraphs>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Dombováriné dr. Kozák Nikolett</dc:creator>
  <dc:description/>
  <cp:lastModifiedBy>Forgács Andrea</cp:lastModifiedBy>
  <cp:revision>2</cp:revision>
  <dcterms:created xsi:type="dcterms:W3CDTF">2023-07-20T12:54:00Z</dcterms:created>
  <dcterms:modified xsi:type="dcterms:W3CDTF">2023-07-20T12:54:00Z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ingleXMLDocument_count">
    <vt:r8>1</vt:r8>
  </property>
</Properties>
</file>